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b/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ahoma" w:cs="Tahoma" w:hAnsi="Tahoma"/>
          <w:b/>
          <w:i/>
          <w:sz w:val="24"/>
          <w:szCs w:val="24"/>
        </w:rPr>
        <w:t xml:space="preserve">Puan 480, 3° piso, Ciudad de Buenos Aires </w:t>
      </w:r>
    </w:p>
    <w:p>
      <w:pPr>
        <w:pStyle w:val="style0"/>
        <w:spacing w:after="0" w:before="0" w:line="100" w:lineRule="atLeast"/>
        <w:jc w:val="center"/>
      </w:pPr>
      <w:r>
        <w:rPr>
          <w:rFonts w:ascii="Tahoma" w:cs="Tahoma" w:hAnsi="Tahoma"/>
          <w:b/>
          <w:i/>
          <w:sz w:val="28"/>
          <w:szCs w:val="28"/>
        </w:rPr>
      </w:r>
    </w:p>
    <w:p>
      <w:pPr>
        <w:pStyle w:val="style0"/>
        <w:jc w:val="center"/>
      </w:pPr>
      <w:r>
        <w:rPr>
          <w:rFonts w:ascii="Tahoma" w:cs="Tahoma" w:hAnsi="Tahoma"/>
          <w:sz w:val="24"/>
          <w:szCs w:val="24"/>
        </w:rPr>
        <w:t>Bienvenida a las 10, a las 14 y a las 18.30 horas a cargo de Pablo Pineau, Director del Departamento de Ciencias de la Educación en el aula 324</w:t>
      </w:r>
    </w:p>
    <w:p>
      <w:pPr>
        <w:pStyle w:val="style0"/>
        <w:spacing w:after="0" w:before="0" w:line="100" w:lineRule="atLeast"/>
        <w:jc w:val="center"/>
      </w:pPr>
      <w:r>
        <w:rPr>
          <w:rFonts w:ascii="Tahoma" w:cs="Tahoma" w:hAnsi="Tahoma"/>
          <w:b/>
          <w:sz w:val="28"/>
          <w:szCs w:val="28"/>
        </w:rPr>
        <w:t>Espacios intermedios</w:t>
      </w:r>
    </w:p>
    <w:p>
      <w:pPr>
        <w:pStyle w:val="style24"/>
        <w:jc w:val="center"/>
      </w:pPr>
      <w:r>
        <w:rPr>
          <w:rFonts w:ascii="Tahoma" w:cs="Tahoma" w:hAnsi="Tahoma"/>
          <w:sz w:val="20"/>
          <w:szCs w:val="20"/>
        </w:rPr>
      </w:r>
    </w:p>
    <w:p>
      <w:pPr>
        <w:pStyle w:val="style24"/>
        <w:numPr>
          <w:ilvl w:val="0"/>
          <w:numId w:val="1"/>
        </w:numPr>
        <w:jc w:val="center"/>
      </w:pPr>
      <w:r>
        <w:rPr>
          <w:rFonts w:ascii="Tahoma" w:cs="Tahoma" w:hAnsi="Tahoma"/>
          <w:sz w:val="20"/>
          <w:szCs w:val="20"/>
        </w:rPr>
        <w:t>Memorias reveladas: la historia argentina contada desde los maestros y maestras</w:t>
      </w:r>
    </w:p>
    <w:p>
      <w:pPr>
        <w:pStyle w:val="style24"/>
        <w:numPr>
          <w:ilvl w:val="0"/>
          <w:numId w:val="1"/>
        </w:numPr>
        <w:jc w:val="center"/>
      </w:pPr>
      <w:r>
        <w:rPr>
          <w:rFonts w:ascii="Tahoma" w:cs="Tahoma" w:hAnsi="Tahoma"/>
          <w:sz w:val="20"/>
          <w:szCs w:val="20"/>
        </w:rPr>
        <w:t>Los maestros andan diciendo... Mitos y verdades sobre la carrera vista por los docentes</w:t>
      </w:r>
    </w:p>
    <w:p>
      <w:pPr>
        <w:pStyle w:val="style24"/>
        <w:numPr>
          <w:ilvl w:val="0"/>
          <w:numId w:val="1"/>
        </w:numPr>
        <w:jc w:val="center"/>
      </w:pPr>
      <w:r>
        <w:rPr>
          <w:rFonts w:ascii="Tahoma" w:cs="Tahoma" w:hAnsi="Tahoma"/>
          <w:sz w:val="20"/>
          <w:szCs w:val="20"/>
        </w:rPr>
        <w:t>Imaginando la educación del futuro</w:t>
      </w:r>
    </w:p>
    <w:p>
      <w:pPr>
        <w:pStyle w:val="style24"/>
        <w:numPr>
          <w:ilvl w:val="0"/>
          <w:numId w:val="1"/>
        </w:numPr>
        <w:jc w:val="center"/>
      </w:pPr>
      <w:r>
        <w:rPr>
          <w:rFonts w:ascii="Tahoma" w:cs="Tahoma" w:hAnsi="Tahoma"/>
          <w:sz w:val="20"/>
          <w:szCs w:val="20"/>
        </w:rPr>
        <w:t>Todo lo que siempre quisiste saber de la carrera de Ciencias de la Educación</w:t>
      </w:r>
    </w:p>
    <w:p>
      <w:pPr>
        <w:pStyle w:val="style24"/>
        <w:numPr>
          <w:ilvl w:val="0"/>
          <w:numId w:val="1"/>
        </w:numPr>
        <w:jc w:val="center"/>
      </w:pPr>
      <w:r>
        <w:rPr>
          <w:rFonts w:ascii="Tahoma" w:cs="Tahoma" w:hAnsi="Tahoma"/>
          <w:sz w:val="20"/>
          <w:szCs w:val="20"/>
        </w:rPr>
        <w:t>¿De qué trabaja un Licenciado en Ciencias de la Educación?</w:t>
      </w:r>
    </w:p>
    <w:p>
      <w:pPr>
        <w:pStyle w:val="style24"/>
        <w:numPr>
          <w:ilvl w:val="0"/>
          <w:numId w:val="1"/>
        </w:numPr>
        <w:jc w:val="center"/>
      </w:pPr>
      <w:r>
        <w:rPr>
          <w:rFonts w:ascii="Tahoma" w:cs="Tahoma" w:hAnsi="Tahoma"/>
          <w:sz w:val="20"/>
          <w:szCs w:val="20"/>
        </w:rPr>
        <w:t>Pensar la educación en la cárcel: experiencias de arte, política y formación en los Centros Universitarios</w:t>
      </w:r>
    </w:p>
    <w:p>
      <w:pPr>
        <w:pStyle w:val="style24"/>
        <w:numPr>
          <w:ilvl w:val="0"/>
          <w:numId w:val="1"/>
        </w:numPr>
        <w:jc w:val="center"/>
      </w:pPr>
      <w:r>
        <w:rPr>
          <w:rFonts w:ascii="Tahoma" w:cs="Tahoma" w:hAnsi="Tahoma"/>
          <w:sz w:val="20"/>
          <w:szCs w:val="20"/>
        </w:rPr>
        <w:t>Aportes de la psicopedagogía para garantizar el derecho a la educación</w:t>
      </w:r>
    </w:p>
    <w:p>
      <w:pPr>
        <w:pStyle w:val="style24"/>
        <w:jc w:val="center"/>
      </w:pPr>
      <w:r>
        <w:rPr>
          <w:rFonts w:ascii="Tahoma" w:cs="Tahoma" w:hAnsi="Tahoma"/>
          <w:sz w:val="20"/>
          <w:szCs w:val="20"/>
        </w:rPr>
      </w:r>
    </w:p>
    <w:tbl>
      <w:tblPr>
        <w:jc w:val="left"/>
        <w:tblInd w:type="dxa" w:w="-108"/>
        <w:tblBorders>
          <w:bottom w:color="00000A" w:space="0" w:sz="4" w:val="single"/>
        </w:tblBorders>
      </w:tblPr>
      <w:tblGrid>
        <w:gridCol w:w="3117"/>
      </w:tblGrid>
      <w:tr>
        <w:trPr>
          <w:cantSplit w:val="false"/>
        </w:trPr>
        <w:tc>
          <w:tcPr>
            <w:tcW w:type="dxa" w:w="3117"/>
            <w:gridSpan w:val="3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28"/>
                <w:szCs w:val="28"/>
              </w:rPr>
              <w:t>Talleres de 40 minutos de duración</w:t>
            </w:r>
          </w:p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28"/>
                <w:szCs w:val="28"/>
              </w:rPr>
              <w:t>Se puede participar en dos a elegir por franja horaria</w:t>
            </w:r>
          </w:p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117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20"/>
                <w:szCs w:val="20"/>
              </w:rPr>
              <w:t>10.20 a 11 horas</w:t>
            </w:r>
          </w:p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20"/>
                <w:szCs w:val="20"/>
              </w:rPr>
              <w:t>11.15 a 11.55 horas</w:t>
            </w:r>
          </w:p>
        </w:tc>
        <w:tc>
          <w:tcPr>
            <w:tcW w:type="dxa" w:w="3117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20"/>
                <w:szCs w:val="20"/>
              </w:rPr>
              <w:t>14.20 a 15 horas</w:t>
            </w:r>
          </w:p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20"/>
                <w:szCs w:val="20"/>
              </w:rPr>
              <w:t>15.15 a 15.55 horas</w:t>
            </w:r>
          </w:p>
        </w:tc>
        <w:tc>
          <w:tcPr>
            <w:tcW w:type="dxa" w:w="3117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20"/>
                <w:szCs w:val="20"/>
              </w:rPr>
              <w:t>18.50 a 19.30 horas</w:t>
            </w:r>
          </w:p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20"/>
                <w:szCs w:val="20"/>
              </w:rPr>
              <w:t>19.45 a 20.25 horas</w:t>
            </w:r>
          </w:p>
        </w:tc>
      </w:tr>
      <w:tr>
        <w:trPr>
          <w:cantSplit w:val="false"/>
        </w:trPr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Relaciones de género y sexualidades en las escuelas. Fotos para armar</w:t>
            </w:r>
          </w:p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Relaciones de género y sexualidades en las escuelas. Fotos para armar</w:t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Relaciones de género y sexualidades en las escuelas. Fotos para armar</w:t>
            </w:r>
          </w:p>
        </w:tc>
      </w:tr>
      <w:tr>
        <w:trPr>
          <w:cantSplit w:val="false"/>
        </w:trPr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Políticas educativas y organizaciones populares: Un vínculo complejo y en continua transformación</w:t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Desafíos actuales de la educación especial</w:t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Desafíos actuales de la educación especial</w:t>
            </w:r>
          </w:p>
        </w:tc>
      </w:tr>
      <w:tr>
        <w:trPr>
          <w:cantSplit w:val="false"/>
        </w:trPr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Educación popular, investigación y participación: hacia otros mundos posibles</w:t>
            </w:r>
          </w:p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Educación popular, investigación y participación: hacia otros mundos posibles</w:t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Educación popular, investigación y participación: hacia otros mundos posibles</w:t>
            </w:r>
          </w:p>
        </w:tc>
      </w:tr>
      <w:tr>
        <w:trPr>
          <w:cantSplit w:val="false"/>
        </w:trPr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 xml:space="preserve">Secundario para armar </w:t>
            </w:r>
          </w:p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Secundario para armar</w:t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Secundario para armar</w:t>
            </w:r>
          </w:p>
        </w:tc>
      </w:tr>
      <w:tr>
        <w:trPr>
          <w:cantSplit w:val="false"/>
        </w:trPr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Leer en la vida y leer en la escuela</w:t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 xml:space="preserve">"¿Qué ves cuando me ves?" </w:t>
            </w:r>
          </w:p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Una mirada psicopedagógica</w:t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"¿Un problema ocupa mucho espacio?" Una mirada psicopedagógica</w:t>
            </w:r>
          </w:p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Tecnologías y educación: acá nos imaginamos la educación que queremos</w:t>
            </w:r>
          </w:p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Tecnologías y educación: acá nos imaginamos la educación que queremos</w:t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Tecnologías y educación: acá nos imaginamos la educación que queremos</w:t>
            </w:r>
          </w:p>
        </w:tc>
      </w:tr>
      <w:tr>
        <w:trPr>
          <w:cantSplit w:val="false"/>
        </w:trPr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Y con el derecho a la educación ¿qué hacemos?</w:t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Y con el derecho a la educación ¿qué hacemos?</w:t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Pensar la educación en la cárcel: experiencias de arte, política y formación en los Centros Universitarios</w:t>
            </w:r>
          </w:p>
        </w:tc>
      </w:tr>
      <w:tr>
        <w:trPr>
          <w:cantSplit w:val="false"/>
        </w:trPr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</w:r>
          </w:p>
        </w:tc>
        <w:tc>
          <w:tcPr>
            <w:tcW w:type="dxa" w:w="311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16"/>
                <w:szCs w:val="16"/>
              </w:rPr>
              <w:t>Abordajes socioeducativos sobre jóvenes, estigmatización y violencia</w:t>
            </w:r>
          </w:p>
        </w:tc>
      </w:tr>
    </w:tbl>
    <w:p>
      <w:pPr>
        <w:pStyle w:val="style24"/>
      </w:pPr>
      <w:r>
        <w:rPr>
          <w:rFonts w:ascii="Tahoma" w:cs="Tahoma" w:hAnsi="Tahoma"/>
        </w:rPr>
      </w:r>
    </w:p>
    <w:p>
      <w:pPr>
        <w:pStyle w:val="style0"/>
        <w:spacing w:after="0" w:before="0" w:line="100" w:lineRule="atLeast"/>
        <w:jc w:val="center"/>
      </w:pPr>
      <w:bookmarkStart w:id="0" w:name="_GoBack"/>
      <w:bookmarkEnd w:id="0"/>
      <w:r>
        <w:rPr>
          <w:rFonts w:ascii="Tahoma" w:cs="Tahoma" w:hAnsi="Tahoma"/>
          <w:b/>
          <w:sz w:val="24"/>
          <w:szCs w:val="24"/>
        </w:rPr>
        <w:t>Encuentro con los autores: libros para pensar la educación</w:t>
      </w:r>
    </w:p>
    <w:p>
      <w:pPr>
        <w:pStyle w:val="style24"/>
        <w:jc w:val="center"/>
      </w:pPr>
      <w:r>
        <w:rPr>
          <w:rFonts w:ascii="Tahoma" w:cs="Tahoma" w:hAnsi="Tahoma"/>
        </w:rPr>
        <w:t xml:space="preserve">Graciela Morgade, María Teresa Sirvent, Graciela Riquelme, Patricia Sarlé, </w:t>
      </w:r>
    </w:p>
    <w:p>
      <w:pPr>
        <w:pStyle w:val="style24"/>
        <w:jc w:val="center"/>
      </w:pPr>
      <w:r>
        <w:rPr>
          <w:rFonts w:ascii="Tahoma" w:cs="Tahoma" w:hAnsi="Tahoma"/>
        </w:rPr>
        <w:t>Marcela Mollis, Mariana Maggio, Carina Lion, Norma Filidoro, Pablo Pineau, entre otros</w:t>
      </w:r>
    </w:p>
    <w:p>
      <w:pPr>
        <w:pStyle w:val="style24"/>
        <w:jc w:val="center"/>
      </w:pPr>
      <w:r>
        <w:rPr>
          <w:rFonts w:ascii="Tahoma" w:cs="Tahoma" w:hAnsi="Tahoma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ahoma" w:cs="Tahoma" w:hAnsi="Tahoma"/>
          <w:b/>
          <w:sz w:val="24"/>
          <w:szCs w:val="24"/>
        </w:rPr>
        <w:t xml:space="preserve">¿Cómo pensar la educación hoy? </w:t>
      </w:r>
    </w:p>
    <w:p>
      <w:pPr>
        <w:pStyle w:val="style0"/>
        <w:spacing w:after="0" w:before="0" w:line="100" w:lineRule="atLeast"/>
        <w:jc w:val="center"/>
      </w:pPr>
      <w:r>
        <w:rPr>
          <w:rFonts w:ascii="Tahoma" w:cs="Tahoma" w:hAnsi="Tahoma"/>
          <w:b/>
          <w:sz w:val="24"/>
          <w:szCs w:val="24"/>
        </w:rPr>
        <w:t>Conversaciones oportunas, coordinadas por Silvia Bacher</w:t>
      </w:r>
    </w:p>
    <w:p>
      <w:pPr>
        <w:pStyle w:val="style24"/>
        <w:jc w:val="center"/>
      </w:pPr>
      <w:r>
        <w:rPr>
          <w:rFonts w:ascii="Tahoma" w:cs="Tahoma" w:hAnsi="Tahoma"/>
        </w:rPr>
      </w:r>
    </w:p>
    <w:p>
      <w:pPr>
        <w:pStyle w:val="style24"/>
        <w:jc w:val="center"/>
      </w:pPr>
      <w:r>
        <w:rPr>
          <w:rFonts w:ascii="Tahoma" w:cs="Tahoma" w:hAnsi="Tahoma"/>
        </w:rPr>
        <w:t>A las 14.20 horas conversan Pablo Pineau, Anahí Guelman y Mariana Maggio</w:t>
      </w:r>
    </w:p>
    <w:p>
      <w:pPr>
        <w:pStyle w:val="style24"/>
        <w:jc w:val="center"/>
      </w:pPr>
      <w:r>
        <w:rPr>
          <w:rFonts w:ascii="Tahoma" w:cs="Tahoma" w:hAnsi="Tahoma"/>
        </w:rPr>
        <w:t>A las 18.50 horas conversan Gabriel Brener, Myriam Feldfeber y Graciela Morgade, Decana de la Facultad de Filosofía y Letras</w:t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Wingdings">
    <w:charset w:val="02"/>
    <w:family w:val="auto"/>
    <w:pitch w:val="default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right"/>
    </w:pPr>
    <w:r>
      <w:rPr/>
      <w:drawing>
        <wp:inline distB="0" distL="0" distR="0" distT="0">
          <wp:extent cx="1562100" cy="60261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>
        <w:lang w:eastAsia="es-AR"/>
      </w:rPr>
      <w:t xml:space="preserve">   </w:t>
    </w:r>
    <w:r>
      <w:rPr/>
      <w:drawing>
        <wp:inline distB="0" distL="0" distR="0" distT="0">
          <wp:extent cx="1699260" cy="53975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es-AR"/>
      </w:rPr>
      <w:t xml:space="preserve">                                                                            </w:t>
    </w:r>
    <w:r>
      <w:rPr/>
      <w:drawing>
        <wp:inline distB="0" distL="0" distR="0" distT="0">
          <wp:extent cx="1126490" cy="56388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es-AR"/>
      </w:rPr>
      <w:t xml:space="preserve">                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" w:eastAsia="Droid Sans" w:hAnsi="Calibri"/>
      <w:color w:val="auto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ListLabel 1"/>
    <w:next w:val="style18"/>
    <w:rPr>
      <w:rFonts w:cs="Courier New"/>
    </w:rPr>
  </w:style>
  <w:style w:styleId="style19" w:type="paragraph">
    <w:name w:val="Encabezado"/>
    <w:basedOn w:val="style0"/>
    <w:next w:val="style20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0" w:type="paragraph">
    <w:name w:val="Cue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FreeSans"/>
    </w:rPr>
  </w:style>
  <w:style w:styleId="style22" w:type="paragraph">
    <w:name w:val="Etiqueta"/>
    <w:basedOn w:val="style0"/>
    <w:next w:val="style22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FreeSans"/>
    </w:rPr>
  </w:style>
  <w:style w:styleId="style24" w:type="paragraph">
    <w:name w:val="No Spacing"/>
    <w:next w:val="style24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Droid Sans" w:hAnsi="Calibri"/>
      <w:color w:val="auto"/>
      <w:sz w:val="22"/>
      <w:szCs w:val="22"/>
      <w:lang w:bidi="ar-SA" w:eastAsia="en-US" w:val="es-AR"/>
    </w:rPr>
  </w:style>
  <w:style w:styleId="style25" w:type="paragraph">
    <w:name w:val="Encabezamiento"/>
    <w:basedOn w:val="style0"/>
    <w:next w:val="style2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6" w:type="paragraph">
    <w:name w:val="Pie de página"/>
    <w:basedOn w:val="style0"/>
    <w:next w:val="style2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2016-09-27T03:22:00.00Z</dcterms:created>
  <dc:creator>Mariana Maggio</dc:creator>
  <cp:lastModifiedBy>Mariana Maggio</cp:lastModifiedBy>
  <dcterms:modified xsi:type="dcterms:W3CDTF">2016-09-27T03:24:00.00Z</dcterms:modified>
  <cp:revision>3</cp:revision>
</cp:coreProperties>
</file>